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0D10" w14:textId="395566D4" w:rsidR="001A1018" w:rsidRDefault="000847AA" w:rsidP="005C71F6">
      <w:pPr>
        <w:jc w:val="center"/>
        <w:rPr>
          <w:b/>
        </w:rPr>
      </w:pPr>
      <w:r>
        <w:rPr>
          <w:b/>
        </w:rPr>
        <w:t xml:space="preserve">The 6 </w:t>
      </w:r>
      <w:r w:rsidR="005C71F6">
        <w:rPr>
          <w:b/>
        </w:rPr>
        <w:t>Elements of a Sales Plan</w:t>
      </w:r>
    </w:p>
    <w:p w14:paraId="494FF74C" w14:textId="24965439" w:rsidR="00B91FEC" w:rsidRDefault="005C71F6" w:rsidP="005C71F6">
      <w:pPr>
        <w:rPr>
          <w:sz w:val="22"/>
        </w:rPr>
      </w:pPr>
      <w:r>
        <w:rPr>
          <w:sz w:val="22"/>
        </w:rPr>
        <w:t>Every company has or should have an annual budgeting and business planning effort. In most cases it calls for growth in revenue</w:t>
      </w:r>
      <w:r w:rsidR="00171EF7">
        <w:rPr>
          <w:sz w:val="22"/>
        </w:rPr>
        <w:t xml:space="preserve"> and</w:t>
      </w:r>
      <w:r w:rsidR="00B91FEC">
        <w:rPr>
          <w:sz w:val="22"/>
        </w:rPr>
        <w:t>/</w:t>
      </w:r>
      <w:r w:rsidR="00171EF7">
        <w:rPr>
          <w:sz w:val="22"/>
        </w:rPr>
        <w:t xml:space="preserve">or </w:t>
      </w:r>
      <w:r w:rsidR="00B91FEC">
        <w:rPr>
          <w:sz w:val="22"/>
        </w:rPr>
        <w:t>margin and</w:t>
      </w:r>
      <w:r>
        <w:rPr>
          <w:sz w:val="22"/>
        </w:rPr>
        <w:t xml:space="preserve"> it is the sales organization’s role to deliver that growth. The big question is how</w:t>
      </w:r>
      <w:r w:rsidR="00171EF7">
        <w:rPr>
          <w:sz w:val="22"/>
        </w:rPr>
        <w:t xml:space="preserve"> is the sales growth achieved</w:t>
      </w:r>
      <w:r>
        <w:rPr>
          <w:sz w:val="22"/>
        </w:rPr>
        <w:t xml:space="preserve"> and that is the purpose of the sales plan. </w:t>
      </w:r>
    </w:p>
    <w:p w14:paraId="0B70C747" w14:textId="244963E7" w:rsidR="005C71F6" w:rsidRDefault="00171EF7" w:rsidP="005C71F6">
      <w:pPr>
        <w:rPr>
          <w:sz w:val="22"/>
        </w:rPr>
      </w:pPr>
      <w:r>
        <w:rPr>
          <w:sz w:val="22"/>
        </w:rPr>
        <w:t>Sales Management must take the responsibility for developing the plan and its execution.</w:t>
      </w:r>
      <w:r w:rsidR="005C71F6">
        <w:rPr>
          <w:sz w:val="22"/>
        </w:rPr>
        <w:t xml:space="preserve"> </w:t>
      </w:r>
      <w:r>
        <w:rPr>
          <w:sz w:val="22"/>
        </w:rPr>
        <w:t xml:space="preserve">The </w:t>
      </w:r>
      <w:r w:rsidR="005C71F6">
        <w:rPr>
          <w:sz w:val="22"/>
        </w:rPr>
        <w:t xml:space="preserve">sales plan determines the sources of revenue, how to acquire that revenue, who will perform what </w:t>
      </w:r>
      <w:r>
        <w:rPr>
          <w:sz w:val="22"/>
        </w:rPr>
        <w:t xml:space="preserve">tasks </w:t>
      </w:r>
      <w:r w:rsidR="005C71F6">
        <w:rPr>
          <w:sz w:val="22"/>
        </w:rPr>
        <w:t>and what assistance</w:t>
      </w:r>
      <w:r>
        <w:rPr>
          <w:sz w:val="22"/>
        </w:rPr>
        <w:t xml:space="preserve"> from other departments (Finance/</w:t>
      </w:r>
      <w:r w:rsidR="00B91FEC">
        <w:rPr>
          <w:sz w:val="22"/>
        </w:rPr>
        <w:t>Mfg.</w:t>
      </w:r>
      <w:r>
        <w:rPr>
          <w:sz w:val="22"/>
        </w:rPr>
        <w:t>/</w:t>
      </w:r>
      <w:r w:rsidR="00B91FEC">
        <w:rPr>
          <w:sz w:val="22"/>
        </w:rPr>
        <w:t>Admin) the</w:t>
      </w:r>
      <w:r w:rsidR="005C71F6">
        <w:rPr>
          <w:sz w:val="22"/>
        </w:rPr>
        <w:t xml:space="preserve"> sales organization expects and needs to reach the objective. In most cases, the sales plan needs to be tightly linked to the marketing plan, so a good practice is for marketing and sales to collaborate on their plans.</w:t>
      </w:r>
    </w:p>
    <w:p w14:paraId="0099A592" w14:textId="77777777" w:rsidR="005C71F6" w:rsidRDefault="005C71F6" w:rsidP="005C71F6">
      <w:pPr>
        <w:rPr>
          <w:sz w:val="22"/>
        </w:rPr>
      </w:pPr>
      <w:r>
        <w:rPr>
          <w:sz w:val="22"/>
        </w:rPr>
        <w:t>The key elements of the sales plan would include:</w:t>
      </w:r>
    </w:p>
    <w:p w14:paraId="2171940B" w14:textId="77777777" w:rsidR="005C71F6" w:rsidRDefault="005C71F6" w:rsidP="000847A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Key assumptions</w:t>
      </w:r>
    </w:p>
    <w:p w14:paraId="1D49358E" w14:textId="77777777" w:rsidR="005C71F6" w:rsidRDefault="005C71F6" w:rsidP="000847A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Revenue sources</w:t>
      </w:r>
    </w:p>
    <w:p w14:paraId="1C985295" w14:textId="77777777" w:rsidR="005C71F6" w:rsidRDefault="005C71F6" w:rsidP="000847A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Activities or drivers </w:t>
      </w:r>
    </w:p>
    <w:p w14:paraId="1AA4CCA0" w14:textId="77777777" w:rsidR="008F16CE" w:rsidRPr="008F16CE" w:rsidRDefault="008F16CE" w:rsidP="000847A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Metrics</w:t>
      </w:r>
    </w:p>
    <w:p w14:paraId="3F4AD195" w14:textId="77777777" w:rsidR="005C71F6" w:rsidRDefault="005C71F6" w:rsidP="000847A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Risks to consider</w:t>
      </w:r>
    </w:p>
    <w:p w14:paraId="34570CD8" w14:textId="77777777" w:rsidR="005C71F6" w:rsidRDefault="005C71F6" w:rsidP="000847A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Alternatives</w:t>
      </w:r>
    </w:p>
    <w:p w14:paraId="0A94962F" w14:textId="77777777" w:rsidR="009132B9" w:rsidRDefault="005C71F6" w:rsidP="005C71F6">
      <w:pPr>
        <w:rPr>
          <w:sz w:val="22"/>
        </w:rPr>
      </w:pPr>
      <w:r>
        <w:rPr>
          <w:sz w:val="22"/>
        </w:rPr>
        <w:t xml:space="preserve">Let’s take each in turn. </w:t>
      </w:r>
    </w:p>
    <w:p w14:paraId="01524924" w14:textId="77777777" w:rsidR="005C71F6" w:rsidRDefault="005C71F6" w:rsidP="005C71F6">
      <w:pPr>
        <w:rPr>
          <w:sz w:val="22"/>
        </w:rPr>
      </w:pPr>
      <w:r>
        <w:rPr>
          <w:sz w:val="22"/>
        </w:rPr>
        <w:t xml:space="preserve">Key Assumptions could include market conditions, competitors and their actions, available resources and </w:t>
      </w:r>
      <w:r w:rsidR="009132B9">
        <w:rPr>
          <w:sz w:val="22"/>
        </w:rPr>
        <w:t>company offering. For example:</w:t>
      </w:r>
    </w:p>
    <w:p w14:paraId="4CCCA92B" w14:textId="77777777" w:rsidR="009132B9" w:rsidRDefault="009132B9" w:rsidP="009132B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Market conditions – continues to grow modestly at 6%/year. </w:t>
      </w:r>
    </w:p>
    <w:p w14:paraId="6282AE36" w14:textId="77777777" w:rsidR="009132B9" w:rsidRDefault="009132B9" w:rsidP="009132B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Competitors – stable with no new entrants. No obvious changes to their strategies.</w:t>
      </w:r>
    </w:p>
    <w:p w14:paraId="4A623FE2" w14:textId="77777777" w:rsidR="009132B9" w:rsidRDefault="009132B9" w:rsidP="009132B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Available resources – sufficient internal resources exist for marketing, services, delivery/production.</w:t>
      </w:r>
    </w:p>
    <w:p w14:paraId="36399B04" w14:textId="77777777" w:rsidR="009132B9" w:rsidRDefault="009132B9" w:rsidP="009132B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Company Offering – current offering is competitive with necessary quality. Planned new product/service in Q3 will have little effect on current planning.</w:t>
      </w:r>
    </w:p>
    <w:p w14:paraId="5AFCC118" w14:textId="43ED3747" w:rsidR="00930BD8" w:rsidRDefault="009132B9" w:rsidP="009132B9">
      <w:pPr>
        <w:rPr>
          <w:sz w:val="22"/>
        </w:rPr>
      </w:pPr>
      <w:r>
        <w:rPr>
          <w:sz w:val="22"/>
        </w:rPr>
        <w:t>Revenue sources describes who and what will be the source of revenue</w:t>
      </w:r>
      <w:r w:rsidR="00E74E4D">
        <w:rPr>
          <w:sz w:val="22"/>
        </w:rPr>
        <w:t>.</w:t>
      </w:r>
      <w:bookmarkStart w:id="0" w:name="_GoBack"/>
      <w:bookmarkEnd w:id="0"/>
      <w:r w:rsidR="00171EF7">
        <w:rPr>
          <w:sz w:val="22"/>
        </w:rPr>
        <w:t xml:space="preserve"> </w:t>
      </w:r>
      <w:r>
        <w:rPr>
          <w:sz w:val="22"/>
        </w:rPr>
        <w:t xml:space="preserve">Many companies derive </w:t>
      </w:r>
      <w:r w:rsidR="00E74E4D">
        <w:rPr>
          <w:sz w:val="22"/>
        </w:rPr>
        <w:t>most</w:t>
      </w:r>
      <w:r>
        <w:rPr>
          <w:sz w:val="22"/>
        </w:rPr>
        <w:t xml:space="preserve"> revenue from existing customers with existing offerings. But a high growth company seeking to expand revenue by 50% this year, will very likely need many new customers to achieve that goal.</w:t>
      </w:r>
      <w:r w:rsidR="0091437D">
        <w:rPr>
          <w:sz w:val="22"/>
        </w:rPr>
        <w:t xml:space="preserve"> </w:t>
      </w:r>
      <w:r w:rsidR="00B91FEC">
        <w:rPr>
          <w:sz w:val="22"/>
        </w:rPr>
        <w:t xml:space="preserve"> </w:t>
      </w:r>
    </w:p>
    <w:p w14:paraId="2D888AFD" w14:textId="77777777" w:rsidR="009132B9" w:rsidRDefault="0091437D" w:rsidP="009132B9">
      <w:pPr>
        <w:rPr>
          <w:sz w:val="22"/>
        </w:rPr>
      </w:pPr>
      <w:r>
        <w:rPr>
          <w:sz w:val="22"/>
        </w:rPr>
        <w:t xml:space="preserve">Below is a matrix of sources, each of which will require a unique set of goals and actions. </w:t>
      </w:r>
    </w:p>
    <w:p w14:paraId="6A48DA82" w14:textId="77777777" w:rsidR="009132B9" w:rsidRDefault="009132B9" w:rsidP="009132B9">
      <w:pPr>
        <w:rPr>
          <w:sz w:val="22"/>
        </w:rPr>
      </w:pPr>
    </w:p>
    <w:p w14:paraId="07F39BD3" w14:textId="77777777" w:rsidR="009132B9" w:rsidRDefault="009132B9" w:rsidP="0091437D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23C85536" wp14:editId="5779C1E5">
            <wp:extent cx="2202180" cy="2247900"/>
            <wp:effectExtent l="0" t="0" r="762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7ADA507" w14:textId="77777777" w:rsidR="00930BD8" w:rsidRDefault="00930BD8" w:rsidP="0091437D">
      <w:pPr>
        <w:rPr>
          <w:sz w:val="22"/>
        </w:rPr>
      </w:pPr>
      <w:r>
        <w:rPr>
          <w:sz w:val="22"/>
        </w:rPr>
        <w:t xml:space="preserve">Identifying the activities or drivers to achieve the goals for each revenue source is a fundamental requirement for success. This cannot be stressed too highly – a lack of clear measurable actions is the most common root cause of sales execution failure. </w:t>
      </w:r>
    </w:p>
    <w:p w14:paraId="4BA0B9EF" w14:textId="77777777" w:rsidR="00930BD8" w:rsidRPr="0091437D" w:rsidRDefault="00930BD8" w:rsidP="0091437D">
      <w:pPr>
        <w:rPr>
          <w:sz w:val="22"/>
        </w:rPr>
      </w:pPr>
      <w:r>
        <w:rPr>
          <w:sz w:val="22"/>
        </w:rPr>
        <w:t>Let’s use</w:t>
      </w:r>
      <w:r w:rsidR="008F16CE">
        <w:rPr>
          <w:sz w:val="22"/>
        </w:rPr>
        <w:t xml:space="preserve"> an example where we assume</w:t>
      </w:r>
      <w:r>
        <w:rPr>
          <w:sz w:val="22"/>
        </w:rPr>
        <w:t xml:space="preserve"> revenue from new custome</w:t>
      </w:r>
      <w:r w:rsidR="008F16CE">
        <w:rPr>
          <w:sz w:val="22"/>
        </w:rPr>
        <w:t>rs must</w:t>
      </w:r>
      <w:r w:rsidR="008F757D">
        <w:rPr>
          <w:sz w:val="22"/>
        </w:rPr>
        <w:t xml:space="preserve"> increase by 100% from $120,000 to $24</w:t>
      </w:r>
      <w:r>
        <w:rPr>
          <w:sz w:val="22"/>
        </w:rPr>
        <w:t>0,000</w:t>
      </w:r>
      <w:r w:rsidR="008F16CE">
        <w:rPr>
          <w:sz w:val="22"/>
        </w:rPr>
        <w:t xml:space="preserve"> in the coming year</w:t>
      </w:r>
      <w:r>
        <w:rPr>
          <w:sz w:val="22"/>
        </w:rPr>
        <w:t>. Each new custom</w:t>
      </w:r>
      <w:r w:rsidR="008F16CE">
        <w:rPr>
          <w:sz w:val="22"/>
        </w:rPr>
        <w:t>er averages $20,000 in revenue, so we can assume we need 12 new customers to reach the goal. T</w:t>
      </w:r>
      <w:r>
        <w:rPr>
          <w:sz w:val="22"/>
        </w:rPr>
        <w:t>he company wins 50% of each opportunity</w:t>
      </w:r>
      <w:r w:rsidR="008F16CE">
        <w:rPr>
          <w:sz w:val="22"/>
        </w:rPr>
        <w:t xml:space="preserve"> where a presentation is made and 67% of meetings with a qualified prospect yields a presentation</w:t>
      </w:r>
      <w:r w:rsidR="008F757D">
        <w:rPr>
          <w:sz w:val="22"/>
        </w:rPr>
        <w:t xml:space="preserve">.  </w:t>
      </w:r>
      <w:r w:rsidR="008F16CE">
        <w:rPr>
          <w:sz w:val="22"/>
        </w:rPr>
        <w:t>Historically, it takes 10 leads from a qualified prospect for each new customer</w:t>
      </w:r>
      <w:r>
        <w:rPr>
          <w:sz w:val="22"/>
        </w:rPr>
        <w:t xml:space="preserve">. </w:t>
      </w:r>
      <w:r w:rsidR="008F757D">
        <w:rPr>
          <w:sz w:val="22"/>
        </w:rPr>
        <w:t xml:space="preserve">Below is a summary </w:t>
      </w:r>
      <w:r w:rsidR="008F16CE">
        <w:rPr>
          <w:sz w:val="22"/>
        </w:rPr>
        <w:t>of what is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1806"/>
        <w:gridCol w:w="1909"/>
        <w:gridCol w:w="2067"/>
        <w:gridCol w:w="1969"/>
      </w:tblGrid>
      <w:tr w:rsidR="008F757D" w14:paraId="4896B41D" w14:textId="77777777" w:rsidTr="008F757D">
        <w:tc>
          <w:tcPr>
            <w:tcW w:w="1599" w:type="dxa"/>
          </w:tcPr>
          <w:p w14:paraId="7009EF19" w14:textId="77777777" w:rsidR="008F757D" w:rsidRDefault="008F757D" w:rsidP="009132B9">
            <w:pPr>
              <w:rPr>
                <w:sz w:val="22"/>
              </w:rPr>
            </w:pPr>
          </w:p>
        </w:tc>
        <w:tc>
          <w:tcPr>
            <w:tcW w:w="1806" w:type="dxa"/>
          </w:tcPr>
          <w:p w14:paraId="482673CA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Leads</w:t>
            </w:r>
          </w:p>
        </w:tc>
        <w:tc>
          <w:tcPr>
            <w:tcW w:w="1909" w:type="dxa"/>
          </w:tcPr>
          <w:p w14:paraId="0634E0D5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Meetings</w:t>
            </w:r>
          </w:p>
        </w:tc>
        <w:tc>
          <w:tcPr>
            <w:tcW w:w="2067" w:type="dxa"/>
          </w:tcPr>
          <w:p w14:paraId="35A1F3B1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Presentations</w:t>
            </w:r>
          </w:p>
        </w:tc>
        <w:tc>
          <w:tcPr>
            <w:tcW w:w="1969" w:type="dxa"/>
          </w:tcPr>
          <w:p w14:paraId="210E9C81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New Customers</w:t>
            </w:r>
          </w:p>
        </w:tc>
      </w:tr>
      <w:tr w:rsidR="008F757D" w14:paraId="49061447" w14:textId="77777777" w:rsidTr="008F757D">
        <w:tc>
          <w:tcPr>
            <w:tcW w:w="1599" w:type="dxa"/>
          </w:tcPr>
          <w:p w14:paraId="58889FAA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06" w:type="dxa"/>
          </w:tcPr>
          <w:p w14:paraId="0C622284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909" w:type="dxa"/>
          </w:tcPr>
          <w:p w14:paraId="2BD2C8B1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067" w:type="dxa"/>
          </w:tcPr>
          <w:p w14:paraId="506A049E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69" w:type="dxa"/>
          </w:tcPr>
          <w:p w14:paraId="0E4004D5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8F757D" w14:paraId="2F0E12A5" w14:textId="77777777" w:rsidTr="008F757D">
        <w:tc>
          <w:tcPr>
            <w:tcW w:w="1599" w:type="dxa"/>
          </w:tcPr>
          <w:p w14:paraId="0944CAC7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Month</w:t>
            </w:r>
          </w:p>
        </w:tc>
        <w:tc>
          <w:tcPr>
            <w:tcW w:w="1806" w:type="dxa"/>
          </w:tcPr>
          <w:p w14:paraId="2F23E5BF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09" w:type="dxa"/>
          </w:tcPr>
          <w:p w14:paraId="0F31A5BC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67" w:type="dxa"/>
          </w:tcPr>
          <w:p w14:paraId="7EAFCC80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69" w:type="dxa"/>
          </w:tcPr>
          <w:p w14:paraId="394534F9" w14:textId="77777777" w:rsidR="008F757D" w:rsidRDefault="008F757D" w:rsidP="009132B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14:paraId="49EE03C8" w14:textId="77777777" w:rsidR="0091437D" w:rsidRDefault="0091437D" w:rsidP="009132B9">
      <w:pPr>
        <w:rPr>
          <w:sz w:val="22"/>
        </w:rPr>
      </w:pPr>
    </w:p>
    <w:p w14:paraId="4B13E034" w14:textId="77777777" w:rsidR="008F757D" w:rsidRDefault="008F757D" w:rsidP="009132B9">
      <w:pPr>
        <w:rPr>
          <w:sz w:val="22"/>
        </w:rPr>
      </w:pPr>
      <w:r>
        <w:rPr>
          <w:sz w:val="22"/>
        </w:rPr>
        <w:t xml:space="preserve">For existing offerings to existing customers there will be a different set of activity goals, possibly number of account calls, presentations to interested groups, etc. Similarly, for new offerings to existing customers. Further these activity goals will need to </w:t>
      </w:r>
      <w:r w:rsidR="008F16CE">
        <w:rPr>
          <w:sz w:val="22"/>
        </w:rPr>
        <w:t xml:space="preserve">be assigned the multiple sales people on the team. </w:t>
      </w:r>
    </w:p>
    <w:p w14:paraId="548D0ED8" w14:textId="549691A9" w:rsidR="008F16CE" w:rsidRDefault="008F16CE" w:rsidP="009132B9">
      <w:pPr>
        <w:rPr>
          <w:sz w:val="22"/>
        </w:rPr>
      </w:pPr>
      <w:r>
        <w:rPr>
          <w:sz w:val="22"/>
        </w:rPr>
        <w:t xml:space="preserve">Many companies do not track the information required to develop these plans, hence the importance of establishing a means to gather key </w:t>
      </w:r>
      <w:r w:rsidR="00171EF7">
        <w:rPr>
          <w:sz w:val="22"/>
        </w:rPr>
        <w:t>m</w:t>
      </w:r>
      <w:r>
        <w:rPr>
          <w:sz w:val="22"/>
        </w:rPr>
        <w:t>etrics. Furthermore, the above example demonstrates the importance to the marketing organization of a clear sales plan as they will need to generate the qualified leads to support the plan.</w:t>
      </w:r>
    </w:p>
    <w:p w14:paraId="427F5A26" w14:textId="77777777" w:rsidR="008400B5" w:rsidRDefault="008400B5" w:rsidP="009132B9">
      <w:pPr>
        <w:rPr>
          <w:sz w:val="22"/>
        </w:rPr>
      </w:pPr>
      <w:r>
        <w:rPr>
          <w:sz w:val="22"/>
        </w:rPr>
        <w:t>Additional actions which may result from the planning exercise could be a review of the sales team composition and distribution. For example, will another new account sales person be needed? What territory or market segment will they cover, etc.</w:t>
      </w:r>
    </w:p>
    <w:p w14:paraId="2AB229F0" w14:textId="77777777" w:rsidR="008F16CE" w:rsidRDefault="008F16CE" w:rsidP="009132B9">
      <w:pPr>
        <w:rPr>
          <w:sz w:val="22"/>
        </w:rPr>
      </w:pPr>
      <w:r>
        <w:rPr>
          <w:sz w:val="22"/>
        </w:rPr>
        <w:t xml:space="preserve">Finally, a vigorous </w:t>
      </w:r>
      <w:r w:rsidR="008400B5">
        <w:rPr>
          <w:sz w:val="22"/>
        </w:rPr>
        <w:t xml:space="preserve">and clear eyed </w:t>
      </w:r>
      <w:r>
        <w:rPr>
          <w:sz w:val="22"/>
        </w:rPr>
        <w:t xml:space="preserve">discussion </w:t>
      </w:r>
      <w:r w:rsidR="008400B5">
        <w:rPr>
          <w:sz w:val="22"/>
        </w:rPr>
        <w:t>of potential risks to the plan should take place and alternatives considered to mitigate those risks. Examples of risks might be:</w:t>
      </w:r>
    </w:p>
    <w:p w14:paraId="0FFFB6A1" w14:textId="77777777" w:rsidR="008400B5" w:rsidRDefault="008400B5" w:rsidP="008400B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Loss of key customer</w:t>
      </w:r>
    </w:p>
    <w:p w14:paraId="600DFB2E" w14:textId="77777777" w:rsidR="008400B5" w:rsidRDefault="008400B5" w:rsidP="008400B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Loss of key sales staff</w:t>
      </w:r>
    </w:p>
    <w:p w14:paraId="1369F280" w14:textId="77777777" w:rsidR="008400B5" w:rsidRDefault="008400B5" w:rsidP="008400B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Delay in new offering</w:t>
      </w:r>
    </w:p>
    <w:p w14:paraId="6288C35B" w14:textId="77777777" w:rsidR="008400B5" w:rsidRDefault="008400B5" w:rsidP="008400B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lastRenderedPageBreak/>
        <w:t>Market/economy slowdown</w:t>
      </w:r>
    </w:p>
    <w:p w14:paraId="33BB765E" w14:textId="77777777" w:rsidR="008400B5" w:rsidRDefault="008400B5" w:rsidP="008400B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New market entrants and what segments are most vulnerable</w:t>
      </w:r>
    </w:p>
    <w:p w14:paraId="39B8B4BD" w14:textId="77777777" w:rsidR="008400B5" w:rsidRDefault="008400B5" w:rsidP="008400B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New alternatives to current offerings</w:t>
      </w:r>
    </w:p>
    <w:p w14:paraId="7DFA8029" w14:textId="77777777" w:rsidR="008400B5" w:rsidRDefault="008400B5" w:rsidP="008400B5">
      <w:pPr>
        <w:rPr>
          <w:sz w:val="22"/>
        </w:rPr>
      </w:pPr>
      <w:r>
        <w:rPr>
          <w:sz w:val="22"/>
        </w:rPr>
        <w:t>No company can expect to address all of these risks but a prudent plan will include some “upside” initiatives. Some examples could be to add/accelerate sales promotions, recruit additional channel or strategic partners, expand strategic accounts faster than planned, create a customer/client win back campaign, etc.</w:t>
      </w:r>
    </w:p>
    <w:p w14:paraId="6FD9FB6E" w14:textId="77777777" w:rsidR="00B91FEC" w:rsidRPr="00B91FEC" w:rsidRDefault="00B91FEC" w:rsidP="008400B5">
      <w:pPr>
        <w:rPr>
          <w:sz w:val="22"/>
          <w:u w:val="single"/>
        </w:rPr>
      </w:pPr>
      <w:r w:rsidRPr="00B91FEC">
        <w:rPr>
          <w:sz w:val="22"/>
          <w:u w:val="single"/>
        </w:rPr>
        <w:t>Summary</w:t>
      </w:r>
    </w:p>
    <w:p w14:paraId="0E13AC5E" w14:textId="4A872547" w:rsidR="008400B5" w:rsidRDefault="00B91FEC" w:rsidP="008400B5">
      <w:pPr>
        <w:rPr>
          <w:sz w:val="22"/>
        </w:rPr>
      </w:pPr>
      <w:r>
        <w:rPr>
          <w:sz w:val="22"/>
        </w:rPr>
        <w:t>E</w:t>
      </w:r>
      <w:r w:rsidR="007F0A6C">
        <w:rPr>
          <w:sz w:val="22"/>
        </w:rPr>
        <w:t>stablishing a regular sales planning discipline is critical to your organization’s success</w:t>
      </w:r>
      <w:r>
        <w:rPr>
          <w:sz w:val="22"/>
        </w:rPr>
        <w:t>. It should align with the overall business plan, identify the needed inputs from each corporate function and consider the risks to achievement. I</w:t>
      </w:r>
      <w:r w:rsidR="007F0A6C">
        <w:rPr>
          <w:sz w:val="22"/>
        </w:rPr>
        <w:t>t is vital that the plan have specific activity goals to assure</w:t>
      </w:r>
      <w:r>
        <w:rPr>
          <w:sz w:val="22"/>
        </w:rPr>
        <w:t xml:space="preserve"> sales</w:t>
      </w:r>
      <w:r w:rsidR="007F0A6C">
        <w:rPr>
          <w:sz w:val="22"/>
        </w:rPr>
        <w:t xml:space="preserve"> execution success and these goals are important inputs to the marketing organization’s ability to </w:t>
      </w:r>
      <w:r>
        <w:rPr>
          <w:sz w:val="22"/>
        </w:rPr>
        <w:t xml:space="preserve">plan and </w:t>
      </w:r>
      <w:r w:rsidR="007F0A6C">
        <w:rPr>
          <w:sz w:val="22"/>
        </w:rPr>
        <w:t xml:space="preserve">support </w:t>
      </w:r>
      <w:r>
        <w:rPr>
          <w:sz w:val="22"/>
        </w:rPr>
        <w:t xml:space="preserve">the </w:t>
      </w:r>
      <w:r w:rsidR="007F0A6C">
        <w:rPr>
          <w:sz w:val="22"/>
        </w:rPr>
        <w:t>organization</w:t>
      </w:r>
      <w:r>
        <w:rPr>
          <w:sz w:val="22"/>
        </w:rPr>
        <w:t>’s</w:t>
      </w:r>
      <w:r w:rsidR="007F0A6C">
        <w:rPr>
          <w:sz w:val="22"/>
        </w:rPr>
        <w:t xml:space="preserve"> revenue goals.</w:t>
      </w:r>
    </w:p>
    <w:p w14:paraId="605E48AC" w14:textId="4EA58A71" w:rsidR="00E74E4D" w:rsidRPr="00E74E4D" w:rsidRDefault="00E74E4D" w:rsidP="00E74E4D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2"/>
        </w:rPr>
      </w:pPr>
      <w:r w:rsidRPr="00E74E4D">
        <w:rPr>
          <w:rFonts w:eastAsia="Times New Roman" w:cs="Arial"/>
          <w:color w:val="000000"/>
          <w:sz w:val="22"/>
        </w:rPr>
        <w:t xml:space="preserve">John Moroney is an energetic operations and sales management consultant with over 30 years of experience in high technology products and services with a particular passion for sales process design, deployment and improvement. Increasing productivity, driving revenues with a focus on execution, John brings his clients practical and creative solutions that provide both short and long term value. He is a principal with Sales Science and an Associate Partner with Acumen Management Group, a business and strategic sales management consulting </w:t>
      </w:r>
      <w:r w:rsidRPr="00E74E4D">
        <w:rPr>
          <w:rFonts w:eastAsia="Times New Roman" w:cs="Arial"/>
          <w:color w:val="000000"/>
          <w:sz w:val="22"/>
        </w:rPr>
        <w:t>firm.</w:t>
      </w:r>
    </w:p>
    <w:p w14:paraId="1C16D5D0" w14:textId="77777777" w:rsidR="00E74E4D" w:rsidRPr="00E74E4D" w:rsidRDefault="00E74E4D" w:rsidP="00E74E4D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2"/>
        </w:rPr>
      </w:pPr>
      <w:r w:rsidRPr="00E74E4D">
        <w:rPr>
          <w:rFonts w:eastAsia="Times New Roman" w:cs="Arial"/>
          <w:color w:val="000000"/>
          <w:sz w:val="22"/>
        </w:rPr>
        <w:t> </w:t>
      </w:r>
    </w:p>
    <w:p w14:paraId="3315528C" w14:textId="77777777" w:rsidR="00E74E4D" w:rsidRPr="00E74E4D" w:rsidRDefault="00E74E4D" w:rsidP="00E74E4D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2"/>
        </w:rPr>
      </w:pPr>
      <w:r w:rsidRPr="00E74E4D">
        <w:rPr>
          <w:rFonts w:eastAsia="Times New Roman" w:cs="Arial"/>
          <w:color w:val="000000"/>
          <w:sz w:val="22"/>
        </w:rPr>
        <w:t>You can reach him at </w:t>
      </w:r>
      <w:hyperlink r:id="rId10" w:tgtFrame="_blank" w:history="1">
        <w:r w:rsidRPr="00E74E4D">
          <w:rPr>
            <w:rFonts w:eastAsia="Times New Roman" w:cs="Arial"/>
            <w:color w:val="0563C1"/>
            <w:sz w:val="22"/>
            <w:u w:val="single"/>
          </w:rPr>
          <w:t>johnjmoroney@salesscience.biz</w:t>
        </w:r>
      </w:hyperlink>
      <w:r w:rsidRPr="00E74E4D">
        <w:rPr>
          <w:rFonts w:eastAsia="Times New Roman" w:cs="Arial"/>
          <w:color w:val="2E74B5"/>
          <w:sz w:val="22"/>
        </w:rPr>
        <w:t> </w:t>
      </w:r>
      <w:r w:rsidRPr="00E74E4D">
        <w:rPr>
          <w:rFonts w:eastAsia="Times New Roman" w:cs="Arial"/>
          <w:color w:val="212121"/>
          <w:sz w:val="22"/>
        </w:rPr>
        <w:t>or LinkedIn</w:t>
      </w:r>
      <w:r w:rsidRPr="00E74E4D">
        <w:rPr>
          <w:rFonts w:eastAsia="Times New Roman" w:cs="Arial"/>
          <w:color w:val="212121"/>
          <w:sz w:val="22"/>
          <w:u w:val="single"/>
        </w:rPr>
        <w:t>:</w:t>
      </w:r>
      <w:r w:rsidRPr="00E74E4D">
        <w:rPr>
          <w:rFonts w:eastAsia="Times New Roman" w:cs="Arial"/>
          <w:color w:val="212121"/>
          <w:sz w:val="22"/>
        </w:rPr>
        <w:t> </w:t>
      </w:r>
      <w:hyperlink r:id="rId11" w:tgtFrame="_blank" w:history="1">
        <w:r w:rsidRPr="00E74E4D">
          <w:rPr>
            <w:rFonts w:eastAsia="Times New Roman" w:cs="Arial"/>
            <w:color w:val="0563C1"/>
            <w:sz w:val="22"/>
            <w:u w:val="single"/>
          </w:rPr>
          <w:t>John J Moroney</w:t>
        </w:r>
      </w:hyperlink>
      <w:r w:rsidRPr="00E74E4D">
        <w:rPr>
          <w:rFonts w:eastAsia="Times New Roman" w:cs="Arial"/>
          <w:color w:val="212121"/>
          <w:sz w:val="22"/>
        </w:rPr>
        <w:t xml:space="preserve">     651-402-4342  </w:t>
      </w:r>
      <w:hyperlink r:id="rId12" w:history="1">
        <w:r w:rsidRPr="00E74E4D">
          <w:rPr>
            <w:rFonts w:eastAsia="Times New Roman" w:cs="Arial"/>
            <w:color w:val="0000FF"/>
            <w:sz w:val="22"/>
            <w:u w:val="single"/>
          </w:rPr>
          <w:t>www.salesscience.biz</w:t>
        </w:r>
      </w:hyperlink>
    </w:p>
    <w:p w14:paraId="540C915C" w14:textId="77777777" w:rsidR="00E74E4D" w:rsidRPr="00E74E4D" w:rsidRDefault="00E74E4D" w:rsidP="00E74E4D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2"/>
        </w:rPr>
      </w:pPr>
    </w:p>
    <w:p w14:paraId="6F7545B4" w14:textId="54F62B08" w:rsidR="00171EF7" w:rsidRPr="008400B5" w:rsidRDefault="00171EF7" w:rsidP="00B91FEC">
      <w:pPr>
        <w:rPr>
          <w:sz w:val="22"/>
        </w:rPr>
      </w:pPr>
    </w:p>
    <w:sectPr w:rsidR="00171EF7" w:rsidRPr="0084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E03"/>
    <w:multiLevelType w:val="hybridMultilevel"/>
    <w:tmpl w:val="78E0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D17"/>
    <w:multiLevelType w:val="hybridMultilevel"/>
    <w:tmpl w:val="C218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F47D9"/>
    <w:multiLevelType w:val="hybridMultilevel"/>
    <w:tmpl w:val="29B2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B5FCF"/>
    <w:multiLevelType w:val="hybridMultilevel"/>
    <w:tmpl w:val="B848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A1BBD"/>
    <w:multiLevelType w:val="hybridMultilevel"/>
    <w:tmpl w:val="CCE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F6"/>
    <w:rsid w:val="000847AA"/>
    <w:rsid w:val="00171EF7"/>
    <w:rsid w:val="001A1018"/>
    <w:rsid w:val="005C71F6"/>
    <w:rsid w:val="007F0A6C"/>
    <w:rsid w:val="008400B5"/>
    <w:rsid w:val="008F16CE"/>
    <w:rsid w:val="008F757D"/>
    <w:rsid w:val="009132B9"/>
    <w:rsid w:val="0091437D"/>
    <w:rsid w:val="00930BD8"/>
    <w:rsid w:val="00B91FEC"/>
    <w:rsid w:val="00E74E4D"/>
    <w:rsid w:val="00F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3CC4"/>
  <w15:chartTrackingRefBased/>
  <w15:docId w15:val="{245A61F0-9DC8-467B-AC9F-4B9E1B21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F6"/>
    <w:pPr>
      <w:ind w:left="720"/>
      <w:contextualSpacing/>
    </w:pPr>
  </w:style>
  <w:style w:type="table" w:styleId="TableGrid">
    <w:name w:val="Table Grid"/>
    <w:basedOn w:val="TableNormal"/>
    <w:uiPriority w:val="39"/>
    <w:rsid w:val="008F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9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1FEC"/>
  </w:style>
  <w:style w:type="character" w:styleId="Hyperlink">
    <w:name w:val="Hyperlink"/>
    <w:basedOn w:val="DefaultParagraphFont"/>
    <w:uiPriority w:val="99"/>
    <w:semiHidden/>
    <w:unhideWhenUsed/>
    <w:rsid w:val="00B91F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www.salesscienc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www.linkedin.com/in/john-j-moroney-3420b63?trk=hp-identity-name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mailto:JohnM@AcumenMgmt.com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91E7B3-C6DF-4A9A-9EA2-5A7C4B90AA21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F12026-7285-49C8-8941-6276437C5A11}">
      <dgm:prSet phldrT="[Text]"/>
      <dgm:spPr>
        <a:solidFill>
          <a:schemeClr val="accen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New Customer/Existing Offering</a:t>
          </a:r>
        </a:p>
      </dgm:t>
    </dgm:pt>
    <dgm:pt modelId="{DE82957F-122A-4D25-85BA-87C8DB45FEE0}" type="parTrans" cxnId="{439A9363-F837-464A-A187-72799BFD5D37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2BA193A-9D24-4AB2-9638-D270ADE095ED}" type="sibTrans" cxnId="{439A9363-F837-464A-A187-72799BFD5D37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99619A8-A5B3-40D1-B07A-44F4F425F73A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New Customer/New Offering</a:t>
          </a:r>
        </a:p>
      </dgm:t>
    </dgm:pt>
    <dgm:pt modelId="{BB746ECF-0677-48B2-B231-77BC7E482447}" type="parTrans" cxnId="{29DAC0B2-FC5B-4D33-A71D-18D341364725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243B5A48-AAA6-499A-979B-95171353FEA0}" type="sibTrans" cxnId="{29DAC0B2-FC5B-4D33-A71D-18D341364725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B754367-79C1-4CA3-B8A5-6BFD1158FD39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Existing Customer /Existing Offering</a:t>
          </a:r>
        </a:p>
      </dgm:t>
    </dgm:pt>
    <dgm:pt modelId="{BFDCB8B3-2D6D-4E6C-86E8-D8B7D8BADB0C}" type="parTrans" cxnId="{24CA7553-228F-497F-B8B3-66D988C2B91C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53419DA-5D11-4823-AE1C-F2A6087575EA}" type="sibTrans" cxnId="{24CA7553-228F-497F-B8B3-66D988C2B91C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2E1534C-F8D9-4CDD-BC31-EF29E1873A60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Existing Customer/New Offering</a:t>
          </a:r>
        </a:p>
      </dgm:t>
    </dgm:pt>
    <dgm:pt modelId="{647D01CF-CEA6-4A74-A1F9-3EA5B4B07DF9}" type="parTrans" cxnId="{9F829B91-CF1C-4956-9640-5FDEBB8514C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1959B9A-7B13-47C2-A654-CEF73384A202}" type="sibTrans" cxnId="{9F829B91-CF1C-4956-9640-5FDEBB8514C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E7E41158-C677-4F6D-BA70-E675E8BF7E6E}" type="pres">
      <dgm:prSet presAssocID="{A691E7B3-C6DF-4A9A-9EA2-5A7C4B90AA21}" presName="matrix" presStyleCnt="0">
        <dgm:presLayoutVars>
          <dgm:chMax val="1"/>
          <dgm:dir/>
          <dgm:resizeHandles val="exact"/>
        </dgm:presLayoutVars>
      </dgm:prSet>
      <dgm:spPr/>
    </dgm:pt>
    <dgm:pt modelId="{D2643E72-B759-43C7-AE2B-12DD50242184}" type="pres">
      <dgm:prSet presAssocID="{A691E7B3-C6DF-4A9A-9EA2-5A7C4B90AA21}" presName="axisShape" presStyleLbl="bgShp" presStyleIdx="0" presStyleCnt="1"/>
      <dgm:spPr/>
    </dgm:pt>
    <dgm:pt modelId="{A47370BC-B8C1-44A6-8A3A-656FA04403BD}" type="pres">
      <dgm:prSet presAssocID="{A691E7B3-C6DF-4A9A-9EA2-5A7C4B90AA21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C96767CD-9436-4A13-BD0D-E9C2C4AA8827}" type="pres">
      <dgm:prSet presAssocID="{A691E7B3-C6DF-4A9A-9EA2-5A7C4B90AA21}" presName="rect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BBD2C61-61C9-4E5E-AD61-4409D3BD5333}" type="pres">
      <dgm:prSet presAssocID="{A691E7B3-C6DF-4A9A-9EA2-5A7C4B90AA21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C6D49E1-791C-44C0-80A9-77633C9E4037}" type="pres">
      <dgm:prSet presAssocID="{A691E7B3-C6DF-4A9A-9EA2-5A7C4B90AA21}" presName="rect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9F829B91-CF1C-4956-9640-5FDEBB8514C2}" srcId="{A691E7B3-C6DF-4A9A-9EA2-5A7C4B90AA21}" destId="{62E1534C-F8D9-4CDD-BC31-EF29E1873A60}" srcOrd="3" destOrd="0" parTransId="{647D01CF-CEA6-4A74-A1F9-3EA5B4B07DF9}" sibTransId="{61959B9A-7B13-47C2-A654-CEF73384A202}"/>
    <dgm:cxn modelId="{E312E995-310A-40A0-9218-6477FBD44586}" type="presOf" srcId="{62E1534C-F8D9-4CDD-BC31-EF29E1873A60}" destId="{9C6D49E1-791C-44C0-80A9-77633C9E4037}" srcOrd="0" destOrd="0" presId="urn:microsoft.com/office/officeart/2005/8/layout/matrix2"/>
    <dgm:cxn modelId="{439A9363-F837-464A-A187-72799BFD5D37}" srcId="{A691E7B3-C6DF-4A9A-9EA2-5A7C4B90AA21}" destId="{20F12026-7285-49C8-8941-6276437C5A11}" srcOrd="0" destOrd="0" parTransId="{DE82957F-122A-4D25-85BA-87C8DB45FEE0}" sibTransId="{62BA193A-9D24-4AB2-9638-D270ADE095ED}"/>
    <dgm:cxn modelId="{88E8B1C8-7F91-481F-8828-C8ABD4FF5A7C}" type="presOf" srcId="{20F12026-7285-49C8-8941-6276437C5A11}" destId="{A47370BC-B8C1-44A6-8A3A-656FA04403BD}" srcOrd="0" destOrd="0" presId="urn:microsoft.com/office/officeart/2005/8/layout/matrix2"/>
    <dgm:cxn modelId="{29DAC0B2-FC5B-4D33-A71D-18D341364725}" srcId="{A691E7B3-C6DF-4A9A-9EA2-5A7C4B90AA21}" destId="{399619A8-A5B3-40D1-B07A-44F4F425F73A}" srcOrd="1" destOrd="0" parTransId="{BB746ECF-0677-48B2-B231-77BC7E482447}" sibTransId="{243B5A48-AAA6-499A-979B-95171353FEA0}"/>
    <dgm:cxn modelId="{0A6B5D0C-E2F1-4DD8-A854-E35D5CC930EC}" type="presOf" srcId="{399619A8-A5B3-40D1-B07A-44F4F425F73A}" destId="{C96767CD-9436-4A13-BD0D-E9C2C4AA8827}" srcOrd="0" destOrd="0" presId="urn:microsoft.com/office/officeart/2005/8/layout/matrix2"/>
    <dgm:cxn modelId="{502B4062-6F20-4A2A-AAC2-C4BB88C0D485}" type="presOf" srcId="{A691E7B3-C6DF-4A9A-9EA2-5A7C4B90AA21}" destId="{E7E41158-C677-4F6D-BA70-E675E8BF7E6E}" srcOrd="0" destOrd="0" presId="urn:microsoft.com/office/officeart/2005/8/layout/matrix2"/>
    <dgm:cxn modelId="{EFAB3FB5-17DB-4611-830B-F1E3A4041D56}" type="presOf" srcId="{AB754367-79C1-4CA3-B8A5-6BFD1158FD39}" destId="{2BBD2C61-61C9-4E5E-AD61-4409D3BD5333}" srcOrd="0" destOrd="0" presId="urn:microsoft.com/office/officeart/2005/8/layout/matrix2"/>
    <dgm:cxn modelId="{24CA7553-228F-497F-B8B3-66D988C2B91C}" srcId="{A691E7B3-C6DF-4A9A-9EA2-5A7C4B90AA21}" destId="{AB754367-79C1-4CA3-B8A5-6BFD1158FD39}" srcOrd="2" destOrd="0" parTransId="{BFDCB8B3-2D6D-4E6C-86E8-D8B7D8BADB0C}" sibTransId="{753419DA-5D11-4823-AE1C-F2A6087575EA}"/>
    <dgm:cxn modelId="{8C9FB447-4FAE-4531-868E-970012298D45}" type="presParOf" srcId="{E7E41158-C677-4F6D-BA70-E675E8BF7E6E}" destId="{D2643E72-B759-43C7-AE2B-12DD50242184}" srcOrd="0" destOrd="0" presId="urn:microsoft.com/office/officeart/2005/8/layout/matrix2"/>
    <dgm:cxn modelId="{1F867CB8-1833-4AF0-AB6E-AE99BFE83B83}" type="presParOf" srcId="{E7E41158-C677-4F6D-BA70-E675E8BF7E6E}" destId="{A47370BC-B8C1-44A6-8A3A-656FA04403BD}" srcOrd="1" destOrd="0" presId="urn:microsoft.com/office/officeart/2005/8/layout/matrix2"/>
    <dgm:cxn modelId="{7AA9B9A6-D312-4440-BAB6-A20DE45089E3}" type="presParOf" srcId="{E7E41158-C677-4F6D-BA70-E675E8BF7E6E}" destId="{C96767CD-9436-4A13-BD0D-E9C2C4AA8827}" srcOrd="2" destOrd="0" presId="urn:microsoft.com/office/officeart/2005/8/layout/matrix2"/>
    <dgm:cxn modelId="{69376E8C-944D-4733-AE5F-E749B7E668B7}" type="presParOf" srcId="{E7E41158-C677-4F6D-BA70-E675E8BF7E6E}" destId="{2BBD2C61-61C9-4E5E-AD61-4409D3BD5333}" srcOrd="3" destOrd="0" presId="urn:microsoft.com/office/officeart/2005/8/layout/matrix2"/>
    <dgm:cxn modelId="{4FEC5588-A70B-46E3-A22D-81D799A5E53E}" type="presParOf" srcId="{E7E41158-C677-4F6D-BA70-E675E8BF7E6E}" destId="{9C6D49E1-791C-44C0-80A9-77633C9E4037}" srcOrd="4" destOrd="0" presId="urn:microsoft.com/office/officeart/2005/8/layout/matrix2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643E72-B759-43C7-AE2B-12DD50242184}">
      <dsp:nvSpPr>
        <dsp:cNvPr id="0" name=""/>
        <dsp:cNvSpPr/>
      </dsp:nvSpPr>
      <dsp:spPr>
        <a:xfrm>
          <a:off x="0" y="22860"/>
          <a:ext cx="2202180" cy="220218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370BC-B8C1-44A6-8A3A-656FA04403BD}">
      <dsp:nvSpPr>
        <dsp:cNvPr id="0" name=""/>
        <dsp:cNvSpPr/>
      </dsp:nvSpPr>
      <dsp:spPr>
        <a:xfrm>
          <a:off x="143141" y="166001"/>
          <a:ext cx="880872" cy="880872"/>
        </a:xfrm>
        <a:prstGeom prst="roundRect">
          <a:avLst/>
        </a:prstGeom>
        <a:solidFill>
          <a:schemeClr val="accent1">
            <a:hueOff val="0"/>
            <a:satOff val="0"/>
            <a:lum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New Customer/Existing Offering</a:t>
          </a:r>
        </a:p>
      </dsp:txBody>
      <dsp:txXfrm>
        <a:off x="186142" y="209002"/>
        <a:ext cx="794870" cy="794870"/>
      </dsp:txXfrm>
    </dsp:sp>
    <dsp:sp modelId="{C96767CD-9436-4A13-BD0D-E9C2C4AA8827}">
      <dsp:nvSpPr>
        <dsp:cNvPr id="0" name=""/>
        <dsp:cNvSpPr/>
      </dsp:nvSpPr>
      <dsp:spPr>
        <a:xfrm>
          <a:off x="1178166" y="166001"/>
          <a:ext cx="880872" cy="8808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New Customer/New Offering</a:t>
          </a:r>
        </a:p>
      </dsp:txBody>
      <dsp:txXfrm>
        <a:off x="1221167" y="209002"/>
        <a:ext cx="794870" cy="794870"/>
      </dsp:txXfrm>
    </dsp:sp>
    <dsp:sp modelId="{2BBD2C61-61C9-4E5E-AD61-4409D3BD5333}">
      <dsp:nvSpPr>
        <dsp:cNvPr id="0" name=""/>
        <dsp:cNvSpPr/>
      </dsp:nvSpPr>
      <dsp:spPr>
        <a:xfrm>
          <a:off x="143141" y="1201026"/>
          <a:ext cx="880872" cy="8808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Existing Customer /Existing Offering</a:t>
          </a:r>
        </a:p>
      </dsp:txBody>
      <dsp:txXfrm>
        <a:off x="186142" y="1244027"/>
        <a:ext cx="794870" cy="794870"/>
      </dsp:txXfrm>
    </dsp:sp>
    <dsp:sp modelId="{9C6D49E1-791C-44C0-80A9-77633C9E4037}">
      <dsp:nvSpPr>
        <dsp:cNvPr id="0" name=""/>
        <dsp:cNvSpPr/>
      </dsp:nvSpPr>
      <dsp:spPr>
        <a:xfrm>
          <a:off x="1178166" y="1201026"/>
          <a:ext cx="880872" cy="8808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</a:rPr>
            <a:t>Existing Customer/New Offering</a:t>
          </a:r>
        </a:p>
      </dsp:txBody>
      <dsp:txXfrm>
        <a:off x="1221167" y="1244027"/>
        <a:ext cx="794870" cy="794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Moroney</dc:creator>
  <cp:keywords/>
  <dc:description/>
  <cp:lastModifiedBy>John Moroney</cp:lastModifiedBy>
  <cp:revision>2</cp:revision>
  <dcterms:created xsi:type="dcterms:W3CDTF">2017-01-10T20:04:00Z</dcterms:created>
  <dcterms:modified xsi:type="dcterms:W3CDTF">2017-01-10T20:04:00Z</dcterms:modified>
</cp:coreProperties>
</file>